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8366" w14:textId="600FD908" w:rsidR="0028066B" w:rsidRPr="00BC0F4D" w:rsidRDefault="004A5861" w:rsidP="00BC0F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0F4D">
        <w:rPr>
          <w:rFonts w:ascii="Times New Roman" w:hAnsi="Times New Roman" w:cs="Times New Roman"/>
          <w:sz w:val="40"/>
          <w:szCs w:val="40"/>
        </w:rPr>
        <w:t>Research</w:t>
      </w:r>
      <w:r w:rsidR="0028066B" w:rsidRPr="00BC0F4D">
        <w:rPr>
          <w:rFonts w:ascii="Times New Roman" w:hAnsi="Times New Roman" w:cs="Times New Roman"/>
          <w:sz w:val="40"/>
          <w:szCs w:val="40"/>
        </w:rPr>
        <w:t xml:space="preserve"> </w:t>
      </w:r>
      <w:r w:rsidR="006A128B">
        <w:rPr>
          <w:rFonts w:ascii="Times New Roman" w:hAnsi="Times New Roman" w:cs="Times New Roman"/>
          <w:sz w:val="40"/>
          <w:szCs w:val="40"/>
        </w:rPr>
        <w:t xml:space="preserve">on Educator </w:t>
      </w:r>
      <w:r w:rsidRPr="00BC0F4D">
        <w:rPr>
          <w:rFonts w:ascii="Times New Roman" w:hAnsi="Times New Roman" w:cs="Times New Roman"/>
          <w:sz w:val="40"/>
          <w:szCs w:val="40"/>
        </w:rPr>
        <w:t>Develop</w:t>
      </w:r>
      <w:r w:rsidR="006A128B">
        <w:rPr>
          <w:rFonts w:ascii="Times New Roman" w:hAnsi="Times New Roman" w:cs="Times New Roman"/>
          <w:sz w:val="40"/>
          <w:szCs w:val="40"/>
        </w:rPr>
        <w:t>ment of</w:t>
      </w:r>
      <w:r w:rsidR="0028066B" w:rsidRPr="00BC0F4D">
        <w:rPr>
          <w:rFonts w:ascii="Times New Roman" w:hAnsi="Times New Roman" w:cs="Times New Roman"/>
          <w:sz w:val="40"/>
          <w:szCs w:val="40"/>
        </w:rPr>
        <w:t xml:space="preserve"> Social Emotional </w:t>
      </w:r>
      <w:r w:rsidR="006A128B">
        <w:rPr>
          <w:rFonts w:ascii="Times New Roman" w:hAnsi="Times New Roman" w:cs="Times New Roman"/>
          <w:sz w:val="40"/>
          <w:szCs w:val="40"/>
        </w:rPr>
        <w:t>Competencies</w:t>
      </w:r>
      <w:r w:rsidR="00374B3F">
        <w:rPr>
          <w:rFonts w:ascii="Times New Roman" w:hAnsi="Times New Roman" w:cs="Times New Roman"/>
          <w:sz w:val="40"/>
          <w:szCs w:val="40"/>
        </w:rPr>
        <w:t xml:space="preserve"> (SECs) </w:t>
      </w:r>
      <w:r w:rsidRPr="00BC0F4D">
        <w:rPr>
          <w:rFonts w:ascii="Times New Roman" w:hAnsi="Times New Roman" w:cs="Times New Roman"/>
          <w:sz w:val="40"/>
          <w:szCs w:val="40"/>
        </w:rPr>
        <w:t>and Emotional Intelligence</w:t>
      </w:r>
      <w:r w:rsidR="00374B3F">
        <w:rPr>
          <w:rFonts w:ascii="Times New Roman" w:hAnsi="Times New Roman" w:cs="Times New Roman"/>
          <w:sz w:val="40"/>
          <w:szCs w:val="40"/>
        </w:rPr>
        <w:t xml:space="preserve"> (EI)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9256928"/>
        <w:docPartObj>
          <w:docPartGallery w:val="Bibliographies"/>
          <w:docPartUnique/>
        </w:docPartObj>
      </w:sdtPr>
      <w:sdtEndPr/>
      <w:sdtContent>
        <w:p w14:paraId="5DBDA1A9" w14:textId="560175CA" w:rsidR="000C1862" w:rsidRPr="00CE2852" w:rsidRDefault="00CE2852" w:rsidP="006A128B">
          <w:pPr>
            <w:pStyle w:val="Heading1"/>
            <w:jc w:val="center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>
            <w:rPr>
              <w:rFonts w:ascii="Times New Roman" w:hAnsi="Times New Roman" w:cs="Times New Roman"/>
              <w:color w:val="auto"/>
              <w:sz w:val="40"/>
              <w:szCs w:val="40"/>
            </w:rPr>
            <w:t xml:space="preserve">Social-Emotional </w:t>
          </w:r>
          <w:r w:rsidR="006A128B">
            <w:rPr>
              <w:rFonts w:ascii="Times New Roman" w:hAnsi="Times New Roman" w:cs="Times New Roman"/>
              <w:color w:val="auto"/>
              <w:sz w:val="40"/>
              <w:szCs w:val="40"/>
            </w:rPr>
            <w:t>Competence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397483C0" w14:textId="77777777" w:rsidR="00CE2852" w:rsidRDefault="00CE2852" w:rsidP="00CE2852">
              <w:pPr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14:paraId="12F3AC7C" w14:textId="69EDD89C" w:rsidR="0098325B" w:rsidRPr="00511268" w:rsidRDefault="0098325B" w:rsidP="00847CBA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Aspelin, J. (2019). Enhancing pre-service teachers’ socio-emotional competence. 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International Journal of Education, 11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(1), 153-168.</w:t>
              </w:r>
              <w:r w:rsidR="00CE285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CE2852" w:rsidRPr="00CE2852">
                <w:rPr>
                  <w:rFonts w:ascii="Times New Roman" w:hAnsi="Times New Roman" w:cs="Times New Roman"/>
                  <w:sz w:val="28"/>
                  <w:szCs w:val="28"/>
                </w:rPr>
                <w:t>https://eric.ed.gov/contentdelivery/servlet/ERICServlet?accno=EJ1213620</w:t>
              </w:r>
            </w:p>
            <w:p w14:paraId="3B4296C4" w14:textId="0DCBCE06" w:rsidR="000C1862" w:rsidRPr="00511268" w:rsidRDefault="000C1862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Bouffard, S. (2018).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Social and emotional learning and cultural competence in teacher education: Where are we and where do we need to go?</w:t>
              </w:r>
              <w:r w:rsidR="00CE285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CE2852" w:rsidRPr="00CE2852">
                <w:rPr>
                  <w:rFonts w:ascii="Times New Roman" w:hAnsi="Times New Roman" w:cs="Times New Roman"/>
                  <w:sz w:val="28"/>
                  <w:szCs w:val="28"/>
                </w:rPr>
                <w:t>http://crtwc.org/wp-content/uploads/2018/01/TE-Survey-Report-1-16-18.pdf</w:t>
              </w:r>
            </w:p>
            <w:p w14:paraId="6C9FFA9E" w14:textId="4F2DBA0A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Brown, J., Doyle, S., Frank, J., Jennings, P. Oh, Y. Rasheed, D. (2018). Long-term impacts of the CARE program on teachers' self-reported social and emotional competence and well-being.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Journal of School Psychology, 76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, 186-202. https://doi.org/10.1016/j.jsp.2019.07.009</w:t>
              </w:r>
            </w:p>
            <w:p w14:paraId="505E7290" w14:textId="1459E5FE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Center for Reaching and Teaching the Whole Child. (2020a).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Anchor competencies framework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. Center for Reaching and Teaching the Whole Child</w:t>
              </w:r>
              <w:r w:rsidR="00CE2852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CE2852" w:rsidRPr="00CE2852">
                <w:rPr>
                  <w:rFonts w:ascii="Times New Roman" w:hAnsi="Times New Roman" w:cs="Times New Roman"/>
                  <w:sz w:val="28"/>
                  <w:szCs w:val="28"/>
                </w:rPr>
                <w:t>http://crtwc.org/anchor-competencies-schema/</w:t>
              </w:r>
            </w:p>
            <w:p w14:paraId="525DDF32" w14:textId="19BCA956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Center for Reaching and Teaching the Whole Child. (2020b).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Social, emotional, and cultural anchor competencies framework.</w:t>
              </w:r>
              <w:r w:rsidR="00CE285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CE2852" w:rsidRPr="00CE2852">
                <w:rPr>
                  <w:rFonts w:ascii="Times New Roman" w:hAnsi="Times New Roman" w:cs="Times New Roman"/>
                  <w:sz w:val="28"/>
                  <w:szCs w:val="28"/>
                </w:rPr>
                <w:t>https://https://crtwc.org/anchor-competencies-schema/</w:t>
              </w:r>
            </w:p>
            <w:p w14:paraId="764855AE" w14:textId="71304D14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Claessens, L. C. A., van Tartwijk, J., van der Want, A. C., Pennings, H. J. M., Verloop, N., den Brok, P. J., &amp; Wubbels, T. (2017). Teaching mindfulness to teachers: A systematic review and narrative synthesis.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Mindfulness, 8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(5), 1136-1149. https://doi.org/10.1007/s12671-017-0691-4</w:t>
              </w:r>
            </w:p>
            <w:p w14:paraId="500BF037" w14:textId="152A2F62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Collaborative for Academic, Social and Emotional Learning. (2019).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Strengthen adult SEL.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 https://schoolguide.casel.org/focus-area-2/overview/</w:t>
              </w:r>
            </w:p>
            <w:p w14:paraId="750B5F7E" w14:textId="2E65ED2F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Collaborative for Academic, Social and Emotional Learning. (2020a).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The CASEL guide to schoolwide SEL essentials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E285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CE2852" w:rsidRPr="00CE2852">
                <w:rPr>
                  <w:rFonts w:ascii="Times New Roman" w:hAnsi="Times New Roman" w:cs="Times New Roman"/>
                  <w:sz w:val="28"/>
                  <w:szCs w:val="28"/>
                </w:rPr>
                <w:t>https://schoolguide.casel.org/resource/the-casel-guide-to-schoolwide-sel-essentials/</w:t>
              </w:r>
            </w:p>
            <w:p w14:paraId="505B6C18" w14:textId="7B314773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Collaborative for Academic, Social and Emotional Learning. (2020b).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CASEL's SEL framework: What is SEL?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 xml:space="preserve"> https://www.casel.org/what-is-SEL</w:t>
              </w:r>
            </w:p>
            <w:p w14:paraId="5E4EB05B" w14:textId="6746F77D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Collaborative for Academic, Social and Emotional Learning. (2020c).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SEL is ...</w:t>
              </w:r>
              <w:r w:rsidR="00E13CDB"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https://casel.org/what-is-sel/</w:t>
              </w:r>
            </w:p>
            <w:p w14:paraId="09AAE254" w14:textId="58BBC22E" w:rsidR="00872A91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Collaborative for Academic, Social, and Emotional Learning. (2020).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CASEL’S SEL FRAMEWORK:</w:t>
              </w:r>
              <w:r w:rsidR="00CE2852" w:rsidRPr="008907E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 xml:space="preserve"> What are the core competence areas and where are they promoted?</w:t>
              </w:r>
              <w:r w:rsidR="00CE2852" w:rsidRPr="00CE285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872A91" w:rsidRPr="00057A9E">
                <w:rPr>
                  <w:rFonts w:ascii="Times New Roman" w:hAnsi="Times New Roman" w:cs="Times New Roman"/>
                  <w:sz w:val="28"/>
                  <w:szCs w:val="28"/>
                </w:rPr>
                <w:t>https://casel.org</w:t>
              </w:r>
            </w:p>
            <w:p w14:paraId="56C61B87" w14:textId="34ACF1F8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Collaborative for Academic, Social, and Emotional Learning.</w:t>
              </w:r>
              <w:r w:rsidR="00AC146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(2021)</w:t>
              </w:r>
              <w:r w:rsidR="00AC146E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AC146E" w:rsidRPr="00AC146E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The case for social and emotional learning.</w:t>
              </w:r>
              <w:r w:rsidR="00AC146E" w:rsidRPr="00AC146E">
                <w:rPr>
                  <w:rFonts w:ascii="Times New Roman" w:hAnsi="Times New Roman" w:cs="Times New Roman"/>
                  <w:sz w:val="28"/>
                  <w:szCs w:val="28"/>
                </w:rPr>
                <w:t xml:space="preserve"> https://docs.google.com/presentation</w:t>
              </w:r>
            </w:p>
            <w:p w14:paraId="091AE143" w14:textId="23731567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D'Emidio-Caston, M. (2019). Addressing social, emotional development, and resilience at the heart of teacher education.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Teacher Education Quarterly, 46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(4), 116</w:t>
              </w:r>
              <w:r w:rsidR="006074C1" w:rsidRPr="00511268">
                <w:rPr>
                  <w:rFonts w:ascii="Times New Roman" w:hAnsi="Times New Roman" w:cs="Times New Roman"/>
                  <w:sz w:val="28"/>
                  <w:szCs w:val="28"/>
                </w:rPr>
                <w:t>-149. https://files.eric.ed.gov/fulltext/EJ1231310.pdf</w:t>
              </w:r>
            </w:p>
            <w:p w14:paraId="67408B4C" w14:textId="1C5242B3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 xml:space="preserve">Donahue-Keegan, D., Villegas-Reimers, E., &amp; Cressey, J. (2019). Integrating social-emotional learning and culturally responsive teaching in teacher education preparation programs: The </w:t>
              </w:r>
              <w:r w:rsidR="006074C1" w:rsidRPr="00511268">
                <w:rPr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assachusetts experience so far.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Teacher Education Quarterly, 46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(4), 150-168.</w:t>
              </w:r>
            </w:p>
            <w:p w14:paraId="322CD926" w14:textId="58E66179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Goegan, L.D., Wagner, A.K., &amp; Daniels. L.M. (2017). Pre-service and practicing teachers’ commitment to and comfort with social emotional learning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 Alberta Journal of Educational Research, 63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(3), 267-285.</w:t>
              </w:r>
              <w:r w:rsidR="00635A59"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 https://journalhosting.ucalgary.ca/index.php/ajer/article/view/56284</w:t>
              </w:r>
            </w:p>
            <w:p w14:paraId="7D9347EA" w14:textId="73190ED1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Hen, M., &amp; Goroshit, M. (2016). Social-emotional competencies among teachers: An examination of interrelationships.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Cogent Education, 3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(1), 1-9</w:t>
              </w:r>
              <w:r w:rsidR="006C0AED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6C0AED" w:rsidRPr="006C0AED">
                <w:rPr>
                  <w:rFonts w:ascii="Times New Roman" w:hAnsi="Times New Roman" w:cs="Times New Roman"/>
                  <w:sz w:val="28"/>
                  <w:szCs w:val="28"/>
                </w:rPr>
                <w:t>https://doi.org/10.1080/2331186X.2016.1151996</w:t>
              </w:r>
            </w:p>
            <w:p w14:paraId="163AD64B" w14:textId="15E65455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Jennings, P. A., &amp; Greenberg, M. T. (2009). The prosocial classroom: Teacher social and emotional competence in relation to student and classroom outcomes.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Review of Educational Research, 79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(1), 91-525</w:t>
              </w:r>
              <w:r w:rsidR="006C0AED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6C0AED" w:rsidRPr="006C0AED">
                <w:rPr>
                  <w:rFonts w:ascii="Times New Roman" w:hAnsi="Times New Roman" w:cs="Times New Roman"/>
                  <w:sz w:val="28"/>
                  <w:szCs w:val="28"/>
                </w:rPr>
                <w:t>https://doi.org/10.3102/0034654308325693</w:t>
              </w:r>
            </w:p>
            <w:p w14:paraId="6A3BBF81" w14:textId="06896125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Jennings, P., Doyle, S., Oh, Y., Rasheed, D., Frank, J., &amp; Brown, J. (2018). Long-term impacts of the CARE program on teachers' self-reported social and emotional competence and well-being.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Journal of School Psychology, 76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, 186-202. https://doi.org/10.1016/j.jsp.2019.07.009</w:t>
              </w:r>
            </w:p>
            <w:p w14:paraId="112EA3EA" w14:textId="10EF5588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Kim, S., Crooks, C. V., Bax, K., &amp; Shokoohi, M. (2021). Impact of trauma-informed training and mindfulness-based social-emotional learning program on teacher attitudes and burnout: A mixed-methods study.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School Mental Health, 13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, 55-68. https://doi.org/10.1007/s12310-020-09406-6</w:t>
              </w:r>
            </w:p>
            <w:p w14:paraId="1B195AA3" w14:textId="77777777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Markowitz, N.L. &amp; Bouffard, S.M. (2020).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Teaching with a social, emotional, and cultural lens: A framework for educators and teacher educators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. Harvard Education Press.</w:t>
              </w:r>
            </w:p>
            <w:p w14:paraId="36B6D564" w14:textId="1D565CF5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Markowitz, N.L. &amp; Thowdis, W. (2016).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The social-emotional dimensions of teaching &amp; learning in preservice teacher education: What do teacher educators think?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 http://crtwc.org/wp-content/uploads/2017/05/TEConvening-White-Paper-Final.pdf</w:t>
              </w:r>
            </w:p>
            <w:p w14:paraId="1F251D52" w14:textId="77777777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Nielsen, B., Laursen, H., Reol, L., Jensen, H., Kozina, A., Vidmar., Rassmusson, M., Marusic, I., Denk, A., Roczen, N., Jurko, S., &amp; Ojstersek, A. (2019). Social, emotional and intercultural competencies: A literature review with a particular focus on the school staff.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European Journal of Teacher Education, 42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(3), 410-428. http:// doi.org/10.1080/02619768.2019.1604670</w:t>
              </w:r>
            </w:p>
            <w:p w14:paraId="6DE28AE8" w14:textId="154ABB63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Palomera, R., Briones, E., Gomez-Linares, A., &amp; Vera, J. (2017). Filling the gap: Improving the social and emotional skills of pre-service teachers.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Revista De Psicodidactica, 22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(2), 142-149.</w:t>
              </w:r>
              <w:r w:rsidR="003B5406"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 https://doi.org/https://dx.doi.org/10.1016.psicod.2017.05.002</w:t>
              </w:r>
            </w:p>
            <w:p w14:paraId="26F7E85C" w14:textId="0ACB5034" w:rsidR="006512C7" w:rsidRPr="006512C7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Schonert-Reichl, K.A., Kitil, M.J., &amp; Hanson-Peterson, J. (2016).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Social and emotional learning in teacher education: A national scan of teacher preparation programs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. </w:t>
              </w:r>
              <w:r w:rsidR="00C63CB9" w:rsidRPr="00511268">
                <w:rPr>
                  <w:rFonts w:ascii="Times New Roman" w:hAnsi="Times New Roman" w:cs="Times New Roman"/>
                  <w:sz w:val="28"/>
                  <w:szCs w:val="28"/>
                </w:rPr>
                <w:t>Collaborative for Social, Emotional, and Academic Learning.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 http://crtwc.org/wp-content/uploads/2019/10/SEL-TEd-Full-Report-for-CASEL-2016-05-15-MJK.pdf</w:t>
              </w:r>
            </w:p>
            <w:p w14:paraId="0F99D17D" w14:textId="5D18D057" w:rsidR="00C84956" w:rsidRPr="00511268" w:rsidRDefault="006512C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Sugushita, J.</w:t>
              </w:r>
              <w:r w:rsidR="00C84956" w:rsidRPr="00511268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 xml:space="preserve"> &amp; Dresser, R. (2019). Social-emotional learning (SEL) in a field course: Preservice teachers practice SEL-supportive instructional strategies. </w:t>
              </w:r>
              <w:r w:rsidRPr="006512C7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Journal of Inquiry &amp; Action in Education, 10</w:t>
              </w:r>
              <w:r w:rsidRPr="006512C7">
                <w:rPr>
                  <w:rFonts w:ascii="Times New Roman" w:hAnsi="Times New Roman" w:cs="Times New Roman"/>
                  <w:sz w:val="28"/>
                  <w:szCs w:val="28"/>
                </w:rPr>
                <w:t>(1), 36-67</w:t>
              </w:r>
              <w:r w:rsidR="00C84956" w:rsidRPr="00511268">
                <w:rPr>
                  <w:rFonts w:ascii="Times New Roman" w:hAnsi="Times New Roman" w:cs="Times New Roman"/>
                  <w:sz w:val="28"/>
                  <w:szCs w:val="28"/>
                </w:rPr>
                <w:t>. https://files.eric.ed.gov/fulltext/EJ1205159.pdf</w:t>
              </w:r>
            </w:p>
            <w:p w14:paraId="756ABAEA" w14:textId="77777777" w:rsidR="00057A9E" w:rsidRPr="00057A9E" w:rsidRDefault="00057A9E" w:rsidP="00057A9E">
              <w:pPr>
                <w:spacing w:after="0" w:line="360" w:lineRule="auto"/>
                <w:ind w:left="720" w:hanging="72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3390EB4D" w14:textId="3AE16EF7" w:rsidR="007614F7" w:rsidRPr="00FD7A3A" w:rsidRDefault="007614F7" w:rsidP="00057A9E">
              <w:pPr>
                <w:spacing w:after="0" w:line="360" w:lineRule="auto"/>
                <w:ind w:left="720" w:hanging="720"/>
                <w:jc w:val="center"/>
                <w:rPr>
                  <w:rFonts w:ascii="Times New Roman" w:hAnsi="Times New Roman" w:cs="Times New Roman"/>
                  <w:sz w:val="40"/>
                  <w:szCs w:val="40"/>
                </w:rPr>
              </w:pPr>
              <w:r w:rsidRPr="00FD7A3A">
                <w:rPr>
                  <w:rFonts w:ascii="Times New Roman" w:hAnsi="Times New Roman" w:cs="Times New Roman"/>
                  <w:sz w:val="40"/>
                  <w:szCs w:val="40"/>
                </w:rPr>
                <w:t>Emotional Intelligence</w:t>
              </w:r>
            </w:p>
            <w:p w14:paraId="599FC7C1" w14:textId="1C74F84C" w:rsidR="007614F7" w:rsidRPr="00FD7A3A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Abiodullah, M.</w:t>
              </w:r>
              <w:r w:rsidR="00E410B2" w:rsidRPr="00511268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 &amp; Aslam, M. (2020). Emotional intelligence as a predictor of teacher engagement in classroom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 Bulletin of Education and</w:t>
              </w:r>
              <w:r w:rsidR="00FD7A3A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 xml:space="preserve"> </w:t>
              </w:r>
              <w:r w:rsidR="00FD7A3A" w:rsidRPr="00FD7A3A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Research, 42</w:t>
              </w:r>
              <w:r w:rsidR="00FD7A3A" w:rsidRPr="00FD7A3A">
                <w:rPr>
                  <w:rFonts w:ascii="Times New Roman" w:hAnsi="Times New Roman" w:cs="Times New Roman"/>
                  <w:sz w:val="28"/>
                  <w:szCs w:val="28"/>
                </w:rPr>
                <w:t>(1), 127-140</w:t>
              </w:r>
              <w:r w:rsidR="00FD7A3A" w:rsidRPr="00FD7A3A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</w:t>
              </w:r>
            </w:p>
            <w:p w14:paraId="61BF2EB2" w14:textId="540F3AE1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Alam, A., &amp; Ahmad, M. (2018). The role of teachers' emotional intelligence in enhancing student achievement.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Journal of Asia Business Studies, 12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(1), 31-43. https://doi.org/10.1108/JABS-08-2015-0134</w:t>
              </w:r>
            </w:p>
            <w:p w14:paraId="119B370C" w14:textId="0158D3C9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Brackett, M. (2018). The emotional intelligence we owe students and educators.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Educational Leadership, 76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(2), 12-18</w:t>
              </w:r>
              <w:r w:rsidR="00820977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820977" w:rsidRPr="00820977">
                <w:rPr>
                  <w:rFonts w:ascii="Times New Roman" w:hAnsi="Times New Roman" w:cs="Times New Roman"/>
                  <w:sz w:val="28"/>
                  <w:szCs w:val="28"/>
                </w:rPr>
                <w:t>https://www.ascd.org/el/articles/the-emotional-intelligence-we-owe-students-and-educators</w:t>
              </w:r>
            </w:p>
            <w:p w14:paraId="0A9B9104" w14:textId="62695766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Dolev, N. &amp; Leshem, S. (2016). Developing emotional intelligence competence among teachers.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Teacher Development, 21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(1), 21-39</w:t>
              </w:r>
              <w:r w:rsidR="00820977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820977" w:rsidRPr="00820977">
                <w:rPr>
                  <w:rFonts w:ascii="Times New Roman" w:hAnsi="Times New Roman" w:cs="Times New Roman"/>
                  <w:sz w:val="28"/>
                  <w:szCs w:val="28"/>
                </w:rPr>
                <w:t>https://dx.doi.org/10.1080/13664530.2016.1207093</w:t>
              </w:r>
            </w:p>
            <w:p w14:paraId="0D170F23" w14:textId="74E97BBF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Dolev, N., &amp; Leshem, S. (2016). Teachers' emotional intelligence: The impact of training. The 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International Journal of Emotional Education, 8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(1), 75-94</w:t>
              </w:r>
              <w:r w:rsidR="00946521"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. https://www.um.edu.mt/library/oar//handle/123456789/9996 </w:t>
              </w:r>
            </w:p>
            <w:p w14:paraId="48AC6C89" w14:textId="602611B4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Dolev, N.</w:t>
              </w:r>
              <w:r w:rsidR="00CC778E" w:rsidRPr="00511268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 &amp; Leshem, S. (2017). What makes up an effective emotional intelligence training design for teachers?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International Journal of Learning, Teaching and Educational Research, 16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(10), 72-89</w:t>
              </w:r>
              <w:r w:rsidR="00CC778E"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. https://doi.org/10.26803/ijlter.16.10.6 </w:t>
              </w:r>
            </w:p>
            <w:p w14:paraId="19CC8DCD" w14:textId="7E4AC2C3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Gallardo, M., Tan, H., &amp; Gindidis, M. (2019). A comparative investigation of </w:t>
              </w:r>
              <w:r w:rsidR="00CC778E" w:rsidRPr="00511268">
                <w:rPr>
                  <w:rFonts w:ascii="Times New Roman" w:hAnsi="Times New Roman" w:cs="Times New Roman"/>
                  <w:sz w:val="28"/>
                  <w:szCs w:val="28"/>
                </w:rPr>
                <w:t>first- and fourth-year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 pre-service teachers' expectations and perceptions of emotional intelligence.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Australian Journal of Teacher Education, 44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(12</w:t>
              </w:r>
              <w:r w:rsidR="00511268"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), 102-114. 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https://doi.org/10.14221/ajte.2019v44n12.6</w:t>
              </w:r>
            </w:p>
            <w:p w14:paraId="5768B6A1" w14:textId="0428B843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Gilar-Corbi, R., Pozo-Rico, T., Pertegel-Felices, M.L., &amp; Sanchez, B. (2018). Emotional intelligence training intervention among trainee teachers: A quasi-experimental study.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Psicologia: Reflexao E Critica, 31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(1), 1-13</w:t>
              </w:r>
              <w:r w:rsidR="00820977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820977" w:rsidRPr="00820977">
                <w:rPr>
                  <w:rFonts w:ascii="Times New Roman" w:hAnsi="Times New Roman" w:cs="Times New Roman"/>
                  <w:sz w:val="28"/>
                  <w:szCs w:val="28"/>
                </w:rPr>
                <w:t>https://doi.org/10.1186/s41155-018-0112-1</w:t>
              </w:r>
            </w:p>
            <w:p w14:paraId="6733316D" w14:textId="78750374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Hen, M.</w:t>
              </w:r>
              <w:r w:rsidR="00511268" w:rsidRPr="00511268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 xml:space="preserve"> &amp; Sharabi-Nov, A. (2014). Teaching the teachers: Emotional intelligence training for teachers.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Teaching Education, 25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(4), 375-390</w:t>
              </w:r>
              <w:r w:rsidR="00820977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="00820977" w:rsidRPr="00820977">
                <w:rPr>
                  <w:rFonts w:ascii="Times New Roman" w:hAnsi="Times New Roman" w:cs="Times New Roman"/>
                  <w:sz w:val="28"/>
                  <w:szCs w:val="28"/>
                </w:rPr>
                <w:t>https://doi.org/10.1080/10476210.2014.908838</w:t>
              </w:r>
            </w:p>
            <w:p w14:paraId="31FC14DD" w14:textId="77777777" w:rsidR="007614F7" w:rsidRPr="00511268" w:rsidRDefault="007614F7" w:rsidP="00511268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Joseph, A., &amp; Carri, R. G. (2018). Role of emotional intelligence in teaching and in the development of future teachers: A meta-analysis.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Education Science and Psychology, 50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(4), 17-25.</w:t>
              </w:r>
            </w:p>
            <w:p w14:paraId="1DD9474C" w14:textId="73941632" w:rsidR="007614F7" w:rsidRPr="00847CBA" w:rsidRDefault="007614F7" w:rsidP="00847CBA">
              <w:pPr>
                <w:spacing w:after="0" w:line="360" w:lineRule="auto"/>
                <w:ind w:left="720" w:hanging="72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Powell, W., &amp; Kusuma-Powell, O. (2010). </w:t>
              </w:r>
              <w:r w:rsidRPr="00511268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Becoming an emotionally intelligent teacher</w:t>
              </w:r>
              <w:r w:rsidRPr="00511268">
                <w:rPr>
                  <w:rFonts w:ascii="Times New Roman" w:hAnsi="Times New Roman" w:cs="Times New Roman"/>
                  <w:sz w:val="28"/>
                  <w:szCs w:val="28"/>
                </w:rPr>
                <w:t>. Corwin Press.</w:t>
              </w:r>
            </w:p>
            <w:p w14:paraId="36D92F63" w14:textId="053C122D" w:rsidR="00241448" w:rsidRPr="00024783" w:rsidRDefault="00057A9E" w:rsidP="00024783"/>
          </w:sdtContent>
        </w:sdt>
      </w:sdtContent>
    </w:sdt>
    <w:sectPr w:rsidR="00241448" w:rsidRPr="000247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9384" w14:textId="77777777" w:rsidR="006A128B" w:rsidRDefault="006A128B" w:rsidP="006A128B">
      <w:pPr>
        <w:spacing w:after="0" w:line="240" w:lineRule="auto"/>
      </w:pPr>
      <w:r>
        <w:separator/>
      </w:r>
    </w:p>
  </w:endnote>
  <w:endnote w:type="continuationSeparator" w:id="0">
    <w:p w14:paraId="0D36EE22" w14:textId="77777777" w:rsidR="006A128B" w:rsidRDefault="006A128B" w:rsidP="006A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E5A4" w14:textId="54D84918" w:rsidR="006A128B" w:rsidRDefault="00374B3F">
    <w:pPr>
      <w:pStyle w:val="Footer"/>
    </w:pPr>
    <w:r>
      <w:t xml:space="preserve">Research on Educator Development of SECs &amp; EI </w:t>
    </w:r>
    <w:sdt>
      <w:sdtPr>
        <w:id w:val="196345394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</w:r>
            <w:r w:rsidR="006A128B">
              <w:t xml:space="preserve">Page </w:t>
            </w:r>
            <w:r w:rsidR="006A128B">
              <w:rPr>
                <w:b/>
                <w:bCs/>
                <w:sz w:val="24"/>
                <w:szCs w:val="24"/>
              </w:rPr>
              <w:fldChar w:fldCharType="begin"/>
            </w:r>
            <w:r w:rsidR="006A128B">
              <w:rPr>
                <w:b/>
                <w:bCs/>
              </w:rPr>
              <w:instrText xml:space="preserve"> PAGE </w:instrText>
            </w:r>
            <w:r w:rsidR="006A128B">
              <w:rPr>
                <w:b/>
                <w:bCs/>
                <w:sz w:val="24"/>
                <w:szCs w:val="24"/>
              </w:rPr>
              <w:fldChar w:fldCharType="separate"/>
            </w:r>
            <w:r w:rsidR="006A128B">
              <w:rPr>
                <w:b/>
                <w:bCs/>
                <w:noProof/>
              </w:rPr>
              <w:t>2</w:t>
            </w:r>
            <w:r w:rsidR="006A128B">
              <w:rPr>
                <w:b/>
                <w:bCs/>
                <w:sz w:val="24"/>
                <w:szCs w:val="24"/>
              </w:rPr>
              <w:fldChar w:fldCharType="end"/>
            </w:r>
            <w:r w:rsidR="006A128B">
              <w:t xml:space="preserve"> of </w:t>
            </w:r>
            <w:r w:rsidR="006A128B">
              <w:rPr>
                <w:b/>
                <w:bCs/>
                <w:sz w:val="24"/>
                <w:szCs w:val="24"/>
              </w:rPr>
              <w:fldChar w:fldCharType="begin"/>
            </w:r>
            <w:r w:rsidR="006A128B">
              <w:rPr>
                <w:b/>
                <w:bCs/>
              </w:rPr>
              <w:instrText xml:space="preserve"> NUMPAGES  </w:instrText>
            </w:r>
            <w:r w:rsidR="006A128B">
              <w:rPr>
                <w:b/>
                <w:bCs/>
                <w:sz w:val="24"/>
                <w:szCs w:val="24"/>
              </w:rPr>
              <w:fldChar w:fldCharType="separate"/>
            </w:r>
            <w:r w:rsidR="006A128B">
              <w:rPr>
                <w:b/>
                <w:bCs/>
                <w:noProof/>
              </w:rPr>
              <w:t>2</w:t>
            </w:r>
            <w:r w:rsidR="006A128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888F1CC" w14:textId="77777777" w:rsidR="006A128B" w:rsidRDefault="006A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8403" w14:textId="77777777" w:rsidR="006A128B" w:rsidRDefault="006A128B" w:rsidP="006A128B">
      <w:pPr>
        <w:spacing w:after="0" w:line="240" w:lineRule="auto"/>
      </w:pPr>
      <w:r>
        <w:separator/>
      </w:r>
    </w:p>
  </w:footnote>
  <w:footnote w:type="continuationSeparator" w:id="0">
    <w:p w14:paraId="3B39DDCD" w14:textId="77777777" w:rsidR="006A128B" w:rsidRDefault="006A128B" w:rsidP="006A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6B"/>
    <w:rsid w:val="00017FF4"/>
    <w:rsid w:val="00024783"/>
    <w:rsid w:val="00057A9E"/>
    <w:rsid w:val="00072FE4"/>
    <w:rsid w:val="000C1862"/>
    <w:rsid w:val="00201312"/>
    <w:rsid w:val="002057C1"/>
    <w:rsid w:val="00221BFB"/>
    <w:rsid w:val="00241448"/>
    <w:rsid w:val="0028066B"/>
    <w:rsid w:val="002B39B7"/>
    <w:rsid w:val="00374B3F"/>
    <w:rsid w:val="00396F09"/>
    <w:rsid w:val="003B5406"/>
    <w:rsid w:val="003F1104"/>
    <w:rsid w:val="003F2CCF"/>
    <w:rsid w:val="004A5861"/>
    <w:rsid w:val="004F25E9"/>
    <w:rsid w:val="00511268"/>
    <w:rsid w:val="00593251"/>
    <w:rsid w:val="006074C1"/>
    <w:rsid w:val="00635A59"/>
    <w:rsid w:val="006512C7"/>
    <w:rsid w:val="006A128B"/>
    <w:rsid w:val="006C0AED"/>
    <w:rsid w:val="007614F7"/>
    <w:rsid w:val="00774BAA"/>
    <w:rsid w:val="007828B5"/>
    <w:rsid w:val="007A3389"/>
    <w:rsid w:val="007A43F7"/>
    <w:rsid w:val="00820977"/>
    <w:rsid w:val="00847CBA"/>
    <w:rsid w:val="00872A91"/>
    <w:rsid w:val="00874BB3"/>
    <w:rsid w:val="008907E8"/>
    <w:rsid w:val="008931A1"/>
    <w:rsid w:val="008A3398"/>
    <w:rsid w:val="008B149A"/>
    <w:rsid w:val="00946521"/>
    <w:rsid w:val="0098325B"/>
    <w:rsid w:val="009E0139"/>
    <w:rsid w:val="00A22CDA"/>
    <w:rsid w:val="00AC146E"/>
    <w:rsid w:val="00BC0F4D"/>
    <w:rsid w:val="00C63CB9"/>
    <w:rsid w:val="00C7024E"/>
    <w:rsid w:val="00C84956"/>
    <w:rsid w:val="00CC778E"/>
    <w:rsid w:val="00CE2852"/>
    <w:rsid w:val="00CF24D0"/>
    <w:rsid w:val="00CF4A55"/>
    <w:rsid w:val="00E13CDB"/>
    <w:rsid w:val="00E410B2"/>
    <w:rsid w:val="00EB6702"/>
    <w:rsid w:val="00F3329F"/>
    <w:rsid w:val="00F5151B"/>
    <w:rsid w:val="00F90296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493F"/>
  <w15:chartTrackingRefBased/>
  <w15:docId w15:val="{73F43D22-E7E2-422E-A4A1-7D4E7D80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6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1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8B"/>
  </w:style>
  <w:style w:type="paragraph" w:styleId="Footer">
    <w:name w:val="footer"/>
    <w:basedOn w:val="Normal"/>
    <w:link w:val="FooterChar"/>
    <w:uiPriority w:val="99"/>
    <w:unhideWhenUsed/>
    <w:rsid w:val="006A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0D2A-5AAD-4623-BF45-39690D01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58</cp:revision>
  <dcterms:created xsi:type="dcterms:W3CDTF">2022-02-06T19:05:00Z</dcterms:created>
  <dcterms:modified xsi:type="dcterms:W3CDTF">2022-02-13T21:52:00Z</dcterms:modified>
</cp:coreProperties>
</file>